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22 vom 29. September 2022</w:t>
      </w:r>
    </w:p>
    <w:p>
      <w:r>
        <w:t>VS Kantonsgericht, 2022-09-29, FR</w:t>
      </w:r>
    </w:p>
    <w:p>
      <w:r>
        <w:rPr>
          <w:b/>
        </w:rPr>
        <w:t xml:space="preserve">Quelle: </w:t>
      </w:r>
      <w:r>
        <w:t>https://mcp.opencaselaw.ch/entscheid/vs_gerichte_C1 21 22</w:t>
      </w:r>
    </w:p>
    <w:p>
      <w:r>
        <w:t>FR: VS_GERICHTE C1 21 22 du 29 septembre 2022</w:t>
      </w:r>
    </w:p>
    <w:p>
      <w:r>
        <w:t>IT: VS_GERICHTE C1 21 22 del 29 settembre 2022</w:t>
      </w:r>
    </w:p>
    <w:p>
      <w:pPr>
        <w:pStyle w:val="Heading2"/>
      </w:pPr>
      <w:r>
        <w:t>Regeste</w:t>
      </w:r>
    </w:p>
    <w:p>
      <w:r>
        <w:t>C1 21 22 JUGEMENT DU 29 SEPTEMBRE 2022 Tribunal cantonal du Valais Cour civile I Composition : Jérôme Emonet, président; Camille Rey-Mermet, juge, et Floriane Mabillard, juge suppléante; Mélanie Favre, greffière; en la cause X _________ SA, défenderesse et appelante, représentée par Me Christophe Quennoz, avocat à Sion contre Y _________ SA (anciennement Z _________ SA), demanderesse et appelée, représentée par Me Steve Quinodoz, avocat à Sion. (contrat d’entreprise) appel contre le jugement du 16 novembre 2020 du juge du district de A _________</w:t>
      </w:r>
    </w:p>
    <w:p>
      <w:pPr>
        <w:pStyle w:val="Heading2"/>
      </w:pPr>
      <w:r>
        <w:t>Erwägungen</w:t>
      </w:r>
    </w:p>
    <w:p>
      <w:r>
        <w:rPr>
          <w:b/>
        </w:rPr>
        <w:t>E. 3</w:t>
      </w:r>
    </w:p>
    <w:p>
      <w:r>
        <w:t>Dans un premier grief, l’appelante critique l’établissement des faits par le juge de district. Elle fait valoir en substance que les parties s’étaient mises d’accord sur la fixation d’une indemnité de 68 fr. de l’heure (consid. 3.1 ci-après), que le jugement attaqué a retenu à tort que les travaux étaient terminés et avaient été exécutés à satisfaction du maître d’ouvrage (consid. 3.2 ci-après) et que les tarifs retenus par l’expert ne sont pas corrects (consid. 3.3 ci-après).</w:t>
      </w:r>
    </w:p>
    <w:p>
      <w:r>
        <w:rPr>
          <w:b/>
        </w:rPr>
        <w:t>E. 3.1</w:t>
      </w:r>
    </w:p>
    <w:p>
      <w:r>
        <w:t>L’appelante allègue que X _________ SA et Y _________ SA collaborent régulièrement depuis 2012 et que le prix des travaux en régie était convenu depuis lors à un montant de 68 fr. de l’heure. Elle n’a toutefois produit aucune pièce attestant de la conclusion d’un tel accord pour les chantiers litigieux ou lors de précédentes collaborations. Pour sa part, l’appelée a toujours contesté ce tarif horaire. Aucun élément au dossier, que ce soient les pièces produites ou les déclarations des parties et des témoins, ne permet d’établir que X _________ SA et Y _________ SA s’étaient mises d’accord sur un prix de 68 fr. de l’heure. Le jugement attaqué a donc constaté correctement les faits en retenant, en son consid. 2.2, que les positions des parties divergeaient au sujet du mode de rémunération convenu dans le cadre du projet de construction « K _________ ».</w:t>
      </w:r>
    </w:p>
    <w:p>
      <w:r>
        <w:rPr>
          <w:b/>
        </w:rPr>
        <w:t>E. 3.2</w:t>
      </w:r>
    </w:p>
    <w:p>
      <w:r>
        <w:t>Pour l’appelante, le juge de district n’aurait pas dû retenir que les travaux étaient terminés et exécutés à satisfaction du maître d’ouvrage, puisque des travaux effectués sur le chalet « L _________ » avaient fait l’objet de deux contestations en relation avec les cannes de rinçage. Le jugement attaqué retient effectivement que les travaux effectués sur le chalet « L _________ » avaient fait l’objet de deux contestations spécifiques, en relation avec les cannes de rinçage d’une part et avec les descentes de toit pour récolter les eaux pluviales d’autre part. S’agissant des cannes de rinçage, l’architecte de l’appelante D _________ a tout d’abord relevé, en 2015, qu’elles n’avaient pas été posées; puis, par courrier du 19 avril 2016, l’appelante a contesté la facture de la réfection des cannes de rinçage. Lors de son audition du 18 février 2020, H _________, administrateur unique de Y _________ SA, a expliqué que les cannes de rinçage avaient été posées conformément aux plans remis par l’architecte, mais que celles-ci avaient été endommagées lors de l’effondrement du talus en amont du chalet. Auditionné en qualité de témoin, le maçon E _________ a expliqué qu’il y avait eu une infiltration d’eau et que les canalisations étaient pliées, si bien que l’arrière du bâtiment avait dû être excavé pour changer et raccorder le drainage.</w:t>
      </w:r>
    </w:p>
    <w:p>
      <w:r>
        <w:t>- 9 - Les cannes de rinçage avaient ainsi été remplacées et D _________ a confirmé qu’elles avaient finalement été réalisées correctement. Pour sa part, l’expert a constaté que l’endommagement des cannes de rinçage n’était pas imputable à l’appelée. Quant aux descentes de toit pour récolter les eaux pluviales, D _________ a expliqué que l’appelée avait oublié de réaliser deux descentes d’eaux pluviales pourtant prévues par le plan des canalisations. Il a ajouté qu’à la décharge de l’appelée, sur l’un des plans de construction, ces descentes figuraient pour un étage et manquaient pour l’autre, mais ce plan n’était selon lui pas utilisé pour la construction du réseau. A ce sujet, H _________ a déclaré que ces descentes de toit n’étaient pas prévues sur les drainages du chalet pour récolter les eaux de toitures, en se référant aux plans n° 1 et 2 de la pièce 11 du classeur annexe. Pour sa part, le témoin E _________ a déclaré que les travaux pour permettre le raccordement des descentes du toit aux drainages avaient été finalement réalisés. L’expert a constaté que les plans ne prévoyaient pas d’indication sur le raccordement des descentes de toit pour récolter les eaux pluviales et que les travaux de l’appelée réalisés ultérieurement, rendus nécessaires par l’absence de telles indications, étaient dès lors justifiés. Il a également confirmé que l’absence sur les plans du raccordement des descentes pour les eaux de toiture n’était pas imputable à l’appelée. Aucun des éléments ci-dessus n’est remis en cause par l’appelante. Partant, avec le Tribunal de district, il convient de retenir que l’endommagement des cannes de rinçage – lesquelles ont au demeurant été remplacées – n’était pas imputable à l’appelée, que l’absence sur les plans du raccordement des descentes de toit pour récolter les eaux pluviales ne lui était pas imputable non plus, que les travaux réalisés ultérieurement par l’appelée étaient justifiés et que ceux-ci ont été correctement exécutés. Ensuite, l’appelante n’explique pas pourquoi le tribunal de district aurait constaté les faits de manière erronée en retenant « les dires de l’expert selon lesquels, pendant la vision locale, les parties auraient confirmé que l’ensemble des travaux facturés étaient terminés, que ces derniers avaient été correctement réalisés et qu’il n’y aurait aucune contestation quant à leur bienfacture ». Cette phrase est reprise telle quelle du rapport d’expertise [rapport d’expertise, p. 3]; on voit difficilement en quoi la retranscription fidèle des propos de l’expert pourrait être constitutive d’arbitraire; l’appelante en tous les cas ne le motive pas. Cette phrase résume pourtant bien les conclusions de l’expert, lequel a ensuite confirmé, dans ses réponses aux différentes questions, que l’intégralité des travaux facturés a été réalisée par l’appelée [rapport d’expertise ad R1 p. 3] et que les travaux compris dans les factures litigieuses ont été exécutés et sont terminés [R1 p. 4],</w:t>
      </w:r>
    </w:p>
    <w:p>
      <w:r>
        <w:t>- 10 - ces points ayant été validés par les deux parties lors de la vision locale et des différentes séances de conciliation [R1 p. 3 et R1 p. 4]. L’appelante ne prétend pas que les propos de l’expert sont contraires à la vérité ni que, lors de la vision locale, elle aurait infirmé que les travaux avaient été correctement réalisés. De plus, elle ne nie pas qu’aucun avis des défauts n’a été versé en cause. Partant, il n’y a pas lieu de corriger les consid. 3.2.1 et 3.2.2 du jugement attaqué, qui établissent à juste titre que les travaux ont été correctement exécutés par l’appelée et que, s’agissant du chalet « L _________ », seule était finalement litigieuse la question de la facturation des travaux dans leur ensemble, comme pour les chantiers des autres chalets.</w:t>
      </w:r>
    </w:p>
    <w:p>
      <w:r>
        <w:rPr>
          <w:b/>
        </w:rPr>
        <w:t>E. 3.3</w:t>
      </w:r>
    </w:p>
    <w:p>
      <w:r>
        <w:t>Enfin, l’appelante soutient qu’« il a été arbitraire dans la constatation que les tarifs retenus par l’expert dans le cadre de son expertise sont corrects », remettant en cause les faits établis au consid. 4 du jugement attaqué. Dans ce considérant, le tribunal de district résume l’expertise du 29 mai 2019, en reprenant le tableau récapitulatif de l’ensemble des coûts et quantités facturés; il relève par ailleurs que, selon la SSE, le tarif en régie pour un maçon est de 89 fr. de l’heure, que l’appelée a appliqué un tarif horaire de 82 fr. pour les maçons, sauf pour les chalets « L _________ » et « S _________ » où elle a appliqué un tarif horaire de 89 fr., respectivement 80 fr., et que l’expert a arrêté le tarif horaire du maçon à 80 fr. de l’heure; le tribunal constate ainsi que le tarif horaire du travail facturé par l’appelée ne se situe pas au-dessus des prix du marché et que l’expert indique que les prix pratiqués par l’appelante étaient conformes, voire inférieurs, aux tarifs de régie fixés par la SSE. Aucun de ces faits n’est erroné; l’appelante ne le prétend d’ailleurs pas. En réalité, les critiques de l’appelante ne sont pas dirigées contre l’établissement des faits mais plutôt contre le bien-fondé de l’expertise, respectivement son appréciation par l’instance précédente. En effet, le point de savoir si le tarif horaire de 80 fr. retenu par l’expert est justifié n’est pas une question de fait mais d’appréciation des faits, qui sera abordée au consid. 4 ci-après.</w:t>
      </w:r>
    </w:p>
    <w:p>
      <w:r>
        <w:rPr>
          <w:b/>
        </w:rPr>
        <w:t>E. 3.4</w:t>
      </w:r>
    </w:p>
    <w:p>
      <w:r>
        <w:t>Au vu de ce qui précède, le moyen tiré de la constatation inexacte des faits doit être entièrement rejeté.</w:t>
      </w:r>
    </w:p>
    <w:p>
      <w:r>
        <w:rPr>
          <w:b/>
        </w:rPr>
        <w:t>E. 4</w:t>
      </w:r>
    </w:p>
    <w:p>
      <w:r>
        <w:t>L’appelante se plaint ensuite d’une mauvaise application du droit : le juge de district n’aurait pas apprécié correctement les preuves, puisqu’il se serait appuyé sur une expertise lacunaire et non-concluante. L’expertise serait lacunaire du fait qu’elle ne tiendrait pas compte des 424 questions complémentaires soumises par l’appelante et nécessaires à la bonne compréhension du rapport; à cet égard, l’avance de frais de</w:t>
      </w:r>
    </w:p>
    <w:p>
      <w:r>
        <w:t>- 11 - 15'000 fr. exigée par le juge de district pour soumettre les questions complémentaires à l’expert serait rédhibitoire.</w:t>
      </w:r>
    </w:p>
    <w:p>
      <w:r>
        <w:rPr>
          <w:b/>
        </w:rPr>
        <w:t>E. 4.1</w:t>
      </w:r>
    </w:p>
    <w:p>
      <w:r>
        <w:t>Conformément à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L’art. 8 CC ne prescrit cependant pas comment les preuves doivent être appréciées ni sur quelles bases le juge peut forger sa conviction (ATF 128 III 22 consid. 2d; 127 III 248 consid. 3a). Savoir si, à l'issue de l'appréciation des preuves, l'existence ou l'inexistence d'un fait doit être considérée comme établie ou comme restant douteuse est une question qui ne relève pas de l'art. 8 CC, mais exclusivement de l'appréciation des preuves (arrêt 4A_747/2011 du 2 avril 2012 consid. 2.1; cf. également ATF 130 III 591 consid. 5.4). L'expertise est l’un des moyens de preuve admis par le CPC (art. 168 al. 1 let. d et art. 183 ss CPC). Les dispositions du Code des obligations relatives au contrat d’entreprise n'imposent pas au juge d'ordonner une expertise pour apporter la preuve du mode de fixation du prix de l’ouvrage. Toutefois, même en l'absence d'une disposition légale spéciale, une expertise peut être imposée par l'art. 8 CC, lorsque le juge n'est pas à même de résoudre, à la lumière de ses propres connaissances, la question qui lui est soumise (cf. arrêt 4A_431/2015 du 19.04.2016 consid. 5.1.3 et les arrêts cités). Par ailleurs, le juge apprécie librement la force probante d'une expertise.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En se fondant sur une expertise non concluante ou en renonçant à procéder aux enquêtes complémentaires requises, le juge pourrait commettre une appréciation arbitraire des preuves et violer l'art. 9 Cst. (cf. arrêt</w:t>
      </w:r>
    </w:p>
    <w:p>
      <w:r>
        <w:t>- 12 - 5A_501/2013 du 13.01.2014 cons. 6.1.3 et les arrêts cités; cf. arrêt 8C_312/2016 du 13.03.2017 consid. 4.2). Aux termes de l’art. 102 CPC, chaque partie avance les frais d’administration des preuves qu’elle requiert (al. 1). Si l'avance n'est pas fournie par une partie, elle peut l'être par l'autre partie, faute de quoi, les preuves ne sont pas administrées (al. 3). Ainsi, faute d’avance des frais d’administration d’une preuve, il sera normalement renoncé à celle- ci. Il s’agit d’une conséquence particulière d’un défaut au sens où le définit l’art. 147 al. 1 CPC, à laquelle la partie doit avoir été rendue attentive (cf. TAPPY, Commentaire romand du Code de procédure civile, 2e éd., 2019, n. 11 art. 102 CPC). Si la preuve n’est pas administrée pour cause de non-versement de l’avance requise, les conséquences de l’absence de preuve sont régies par l’art. 8 CC.</w:t>
      </w:r>
    </w:p>
    <w:p>
      <w:r>
        <w:rPr>
          <w:b/>
        </w:rPr>
        <w:t>E. 4.2</w:t>
      </w:r>
    </w:p>
    <w:p>
      <w:r>
        <w:t>En l’espèce, l’appelante n’a pas versé l’avance de frais complémentaire de 15'000 fr. dans le délai prolongé par le juge de district. Dans la mesure où elle a été dument informée qu’à défaut de paiement dans le délai imparti, le complément d’expertise ne serait pas administré (cf. notamment les ordonnances des 3 juillet et 5 septembre 2019), il appert qu’elle a ainsi renoncé à soumettre ses 424 questions complémentaires à l’expert. Elle ne peut dès lors pas prétendre que l’expertise était lacunaire uniquement parce que l’expert n’a pas tenu compte des questions complémentaires – dont il n’a au demeurant pas eu connaissance. Au surplus, ses doléances quant au montant excessif de l’avance de frais complémentaire sortent du cadre du présent appel; elles auraient en effet dû faire l’objet d’un recours dans les 10 jours (cf. art. 103 CPC, art. 319 let. b ch. 1 et art. 321 al. 2 CPC) et n’ont dès lors pas à être examinées par le Tribunal de céans.</w:t>
      </w:r>
    </w:p>
    <w:p>
      <w:r>
        <w:rPr>
          <w:b/>
        </w:rPr>
        <w:t>E. 4.3</w:t>
      </w:r>
    </w:p>
    <w:p>
      <w:r>
        <w:t>Le litige porte sur la facturation des travaux réalisés par l’appelée, plus particulièrement sur le tarif horaire à appliquer. Aucune partie n’ayant apporté la preuve d’un accord à ce sujet, le juge de district a considéré, à bon droit, que la rémunération devait se calculer conformément à l’art. 374 CO, à savoir selon la valeur du travail et les dépenses de l’appelée. Une expertise a été diligentée à cet effet, sur la base de laquelle l’autorité précédente s’est fondée pour arrêter les montants dus. L’appelante estime précisément que les constatations du juge de district tirées du rapport d’expertise relèvent d'une appréciation arbitraire des preuves. S’agissant du tarif horaire du maçon par exemple, l’expert l’a arrêté à 80 fr., montant qui s’éloignerait sensiblement du prix du marché. Il sied ici de souligner, à titre comparatif, que l’appelée retenait le montant de 82 fr. (principalement), 89 fr. ou 80 fr., l’appelante 70 fr. ou 80 fr. et la SSE</w:t>
      </w:r>
    </w:p>
    <w:p>
      <w:r>
        <w:t>- 13 - 89 francs. Le tarif horaire retenu par l’expert est donc soutenable, dès lors qu’il se situe dans la fourchette des montants avancés par les parties, l’appelante ayant elle-même à de multiples postes admis ce tarif, lequel est au demeurant bien inférieur à celui fixé par la SSE. Toujours à propos du tarif des maçons, l’appelante note que l’expertise n’est pas exempte de contradictions; par exemple, elle retiendrait parfois un tarif de 80 fr. et parfois un tarif de 82 fr. de l’heure, comme pour les activités des 21 juillet 2015 et 22 décembre 2015. Si l’on parcourt le tableau récapitulatif annexé à l’expertise, on constate que l’expert a toujours retenu un tarif de 80 fr. de l’heure, à l’exception de ces deux seules et uniques occurrences, où il valide le tarif de 82 fr. avancé par l’appelée. Le fait qu’à deux reprises, dans un tableau récapitulatif de onze pages, l’expert retient un tarif horaire de 82 fr. et non de 80 fr., ne remet nullement en cause le rapport d’expertise, qui ne recèle d’ailleurs aucune contradiction fondamentale. En outre, selon l’appelante, l’expert retiendrait des heures d’activité totalement arbitraires et dénuées de justification (1 heure pour une activité de « marteau » le 8 septembre 2015, 6 heures pour une activité de « pelle » le 8 septembre 2015, ½ heure pour une activité de « camionnette » le 21 octobre 2015, etc.). Or, il apparaît que les différents postes listés dans le tableau comparatif sont aisément vérifiables en se référant aux pièces déposées au dossier et systématiquement désignées par l’expert. Par exemple, les heures de « pelle » et « marteau » du 8 septembre 2015 sont celles avancées par l’appelée dans la pièce 8 (rapports régie du 08.09.2015 pour le projet «M _________ »), qui donne le détail de la pièce 7 (facture n° D16-1003 pour le chalet « M _________ ») à laquelle se réfère l’expertise. Comme indiqué en page 4 de l’expertise, le tableau récapitule l’ensemble des coûts et des quantités facturés, mettant en parallèle les factures de Z _________ SA, l’analyse de X _________ SA, les tarifs selon la SSE et l’analyse de l’expert. Les activités relevées et les heures retenues ne sont dès lors ni arbitraires, ni dénuées de justification, puisqu’elles ressortent toutes des pièces déposées. Aucune des critiques de l’appelante ne permet de remettre en cause l’exactitude de l’expertise, laquelle s’avère complète et concluante. Le juge de district, qui n’avait ainsi pas de motif sérieux de s’en écarter ou d’exiger des explications complémentaires, pouvait estimer le rapport d’expertise daté du 29 mai 2019 suffisant pour fonder sa conviction; il n’a par conséquent pas procédé à une mauvaise application du droit en arrêtant la rémunération due à l’appelée pour le chantier « K _________ » sur la base des chiffres avancés par l’expert.</w:t>
      </w:r>
    </w:p>
    <w:p>
      <w:r>
        <w:t>- 14 -</w:t>
      </w:r>
    </w:p>
    <w:p>
      <w:r>
        <w:rPr>
          <w:b/>
        </w:rPr>
        <w:t>E. 5</w:t>
      </w:r>
    </w:p>
    <w:p>
      <w:r>
        <w:t>En définitive, l’appelante est donc bien redevable envers l’appelée du montant de 9’440 fr. avec intérêt à 5 % l’an dès le 4 octobre 2015 et du montant de 129'462 fr. 15 avec intérêt à 5 % l’an dès le 11 avril 2016. Partant, le jugement attaqué doit être entièrement confirmé.</w:t>
      </w:r>
    </w:p>
    <w:p>
      <w:r>
        <w:rPr>
          <w:b/>
        </w:rPr>
        <w:t>E. 6</w:t>
      </w:r>
    </w:p>
    <w:p>
      <w:r>
        <w:t>Au vu de l’issue du litige, il n’y a pas lieu de donner suite à la conclusion de l’appelante tendant à ordonner une contre-expertise.</w:t>
      </w:r>
    </w:p>
    <w:p>
      <w:r>
        <w:rPr>
          <w:b/>
        </w:rPr>
        <w:t>E. 7.1</w:t>
      </w:r>
    </w:p>
    <w:p>
      <w:r>
        <w:t>Au vu du sort de l’appel, l’appelante qui succombe, supportera tant les frais de dépens de première instance, non contestés dans leur quotité, que les frais et dépens de la présente procédure.</w:t>
      </w:r>
    </w:p>
    <w:p>
      <w:r>
        <w:rPr>
          <w:b/>
        </w:rPr>
        <w:t>E. 7.2</w:t>
      </w:r>
    </w:p>
    <w:p>
      <w:r>
        <w:t>En appel, l’émolument qui peut osciller, pour la valeur litigieuse en cause (138'902 fr.) entre 4500 fr. et 18'000 fr. (art. 16 al. 1 LTar), et être réduit de 60% (art. 19 LTar), est arrêté à 4500 fr., compte tenu de la situation financière des parties, de l’ampleur et de la difficulté de la cause.</w:t>
      </w:r>
    </w:p>
    <w:p>
      <w:r>
        <w:rPr>
          <w:b/>
        </w:rPr>
        <w:t>E. 7.3</w:t>
      </w:r>
    </w:p>
    <w:p>
      <w:r>
        <w:t>Les honoraires, qui peuvent aller de 11'100 fr. à 15'400 fr. (art. 32 al. 1 LTar) et être réduits de 60% (art. 35 al. 1 LTar), voire en-deçà s’il y a une disproportion manifeste entre la rémunération prévue par le tarif et le travail effectif du conseil juridique (art 29 al. 3 LTar), sont arrêtés à 4000 fr., débours compris, compte tenu de l’activité du mandataire de l’appelée qui s’est limitée au dépôt d’une détermination de huit pages.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